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4686300" cy="568198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>
          <w:rFonts w:ascii="arial" w:hAnsi="arial"/>
          <w:b/>
          <w:bCs/>
          <w:sz w:val="20"/>
          <w:szCs w:val="20"/>
        </w:rPr>
        <w:t>Figure 1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eastAsia="Noto Serif CJK SC" w:cs="Lohit Devanagari" w:ascii="arial" w:hAnsi="arial"/>
          <w:b w:val="false"/>
          <w:bCs w:val="false"/>
          <w:i/>
          <w:iCs/>
          <w:color w:val="auto"/>
          <w:kern w:val="2"/>
          <w:sz w:val="20"/>
          <w:szCs w:val="20"/>
          <w:lang w:val="en-US" w:eastAsia="zh-CN" w:bidi="hi-IN"/>
        </w:rPr>
        <w:t>E. coli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 </w:t>
      </w:r>
      <w:r>
        <w:rPr>
          <w:rFonts w:ascii="arial" w:hAnsi="arial"/>
          <w:b w:val="false"/>
          <w:b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mixtures approximate single site binding near 2 mM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(A)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E. coli metabolome molar composition.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(B-C)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Effect of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on 8-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ydroxyquinoline-5-sulph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onic acid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emission with and without mixtures of metabolites that chelate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Grey lines represent fits to determine the binding constant for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HQS.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>(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E-F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>)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Effect of the total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on the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with mixtures of metabolites that chelate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.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was calculated using HQS emission and the binding constant for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eastAsia="Noto Serif CJK SC" w:cs="Lohit Devanagari" w:ascii="arial" w:hAnsi="arial"/>
          <w:b w:val="false"/>
          <w:b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 xml:space="preserve">and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HQS. Grey lines represent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the free 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concentration in the absence of chelators (free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= total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). Hex bins represent a statistical simulation based on experimental errors in KD determination, experimental errors in reagent concentrations, and single site binding.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>(</w:t>
      </w:r>
      <w:r>
        <w:rPr>
          <w:rFonts w:eastAsia="Noto Serif CJK SC" w:cs="Lohit Devanagari" w:ascii="arial" w:hAnsi="arial"/>
          <w:b/>
          <w:bCs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H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Concentration of metabolites in each artificial cytoplasm. Box plots represent means and 95% confidence intervals from statistical simulation based on experimental errors in reagent concentrations . Violin plots represent the distribution for the same simulation. </w:t>
      </w:r>
      <w:r>
        <w:rPr>
          <w:rFonts w:ascii="arial" w:hAnsi="arial"/>
          <w:b/>
          <w:bCs/>
          <w:position w:val="0"/>
          <w:sz w:val="20"/>
          <w:sz w:val="20"/>
          <w:szCs w:val="20"/>
          <w:vertAlign w:val="baseline"/>
        </w:rPr>
        <w:t xml:space="preserve">(I)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Total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required to have 2 mM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. Box plots represent means and 95% confidence intervals from statistical simulation based on experimental errors in KD determination, experimental errors in reagent concentrations, and single site binding. Violin plots represent the distribution for the same simulation.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Red lines represent the total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>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required to have 2 mM free Mg</w:t>
      </w:r>
      <w:r>
        <w:rPr>
          <w:rFonts w:ascii="arial" w:hAnsi="arial"/>
          <w:b w:val="false"/>
          <w:bCs w:val="false"/>
          <w:sz w:val="20"/>
          <w:szCs w:val="20"/>
          <w:vertAlign w:val="superscript"/>
        </w:rPr>
        <w:t>2+</w:t>
      </w:r>
      <w:r>
        <w:rPr>
          <w:rFonts w:ascii="arial" w:hAnsi="arial"/>
          <w:b w:val="false"/>
          <w:bCs w:val="false"/>
          <w:position w:val="0"/>
          <w:sz w:val="20"/>
          <w:sz w:val="20"/>
          <w:szCs w:val="20"/>
          <w:vertAlign w:val="baseline"/>
        </w:rPr>
        <w:t xml:space="preserve"> in each artificial cytoplasm as determined in panels E-F.</w:t>
      </w:r>
      <w:r>
        <w:br w:type="page"/>
      </w:r>
    </w:p>
    <w:p>
      <w:pPr>
        <w:pStyle w:val="Normal"/>
        <w:bidi w:val="0"/>
        <w:jc w:val="left"/>
        <w:rPr>
          <w:rFonts w:ascii="arial" w:hAnsi="arial"/>
          <w:b w:val="false"/>
          <w:b w:val="false"/>
          <w:bCs w:val="false"/>
          <w:position w:val="0"/>
          <w:sz w:val="24"/>
          <w:sz w:val="24"/>
          <w:vertAlign w:val="baseline"/>
        </w:rPr>
      </w:pPr>
      <w:r>
        <w:rPr>
          <w:rFonts w:ascii="arial" w:hAnsi="arial"/>
          <w:b w:val="false"/>
          <w:bCs w:val="false"/>
          <w:position w:val="0"/>
          <w:sz w:val="24"/>
          <w:sz w:val="24"/>
          <w:vertAlign w:val="baseline"/>
        </w:rPr>
        <w:drawing>
          <wp:inline distT="0" distB="0" distL="0" distR="0">
            <wp:extent cx="6332220" cy="5427345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/>
        <w:jc w:val="left"/>
        <w:rPr/>
      </w:pPr>
      <w:r>
        <w:rPr>
          <w:rFonts w:ascii="arial" w:hAnsi="arial"/>
          <w:b/>
          <w:bCs/>
          <w:sz w:val="20"/>
          <w:szCs w:val="20"/>
        </w:rPr>
        <w:t>Figure 2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mixtures stabilize the chemical structure of RNA.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(A)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Raw degradation assay gel image for the Guanine riboswitch aptamer incubated in artificial cytoplasms at 37 </w:t>
      </w:r>
      <w:r>
        <w:rPr>
          <w:rFonts w:eastAsia="Noto Serif CJK SC" w:cs="Lohit Devanagari" w:ascii="Ani" w:hAnsi="Ani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°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C and pH 7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 The OH- lane contains a hydroly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is ladder which cleaves after every nucleotide and T1 contains the RNA treated with T1 ribonuclease which cleaves after every G. Enough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was added to each artificial cytoplasm to have 2 mM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 as determined in Figure 1.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(B)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Secondary structure of the guanine riboswitch aptamer.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(C)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at each residue in different solution conditions as a function of location in the RNA. </w:t>
      </w: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(D)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Estimated increase in counts as a function of time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in different conditions grouped by paired and unpaired bases. Significance was determined using an unpaired Wilcox test.</w:t>
      </w:r>
      <w:r>
        <w:br w:type="page"/>
      </w:r>
    </w:p>
    <w:p>
      <w:pPr>
        <w:pStyle w:val="Normal"/>
        <w:bidi w:val="0"/>
        <w:jc w:val="left"/>
        <w:rPr>
          <w:sz w:val="20"/>
          <w:szCs w:val="20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7035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0"/>
          <w:szCs w:val="20"/>
        </w:rPr>
        <w:t>F</w:t>
      </w:r>
      <w:r>
        <w:rPr>
          <w:rFonts w:ascii="arial" w:hAnsi="arial"/>
          <w:b/>
          <w:bCs/>
          <w:sz w:val="20"/>
          <w:szCs w:val="20"/>
        </w:rPr>
        <w:t>igure 3</w:t>
      </w:r>
      <w:r>
        <w:rPr>
          <w:rFonts w:ascii="arial" w:hAnsi="arial"/>
          <w:b w:val="false"/>
          <w:bCs w:val="false"/>
          <w:sz w:val="20"/>
          <w:szCs w:val="20"/>
        </w:rPr>
        <w:t xml:space="preserve">  </w:t>
      </w:r>
      <w:r>
        <w:rPr>
          <w:rFonts w:ascii="arial" w:hAnsi="arial"/>
          <w:b w:val="false"/>
          <w:bCs w:val="false"/>
          <w:i/>
          <w:iCs/>
          <w:sz w:val="20"/>
          <w:szCs w:val="20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mixtures destabilize RNA secondary structure.</w:t>
      </w:r>
    </w:p>
    <w:p>
      <w:pPr>
        <w:pStyle w:val="Normal"/>
        <w:bidi w:val="0"/>
        <w:jc w:val="left"/>
        <w:rPr>
          <w:b w:val="false"/>
          <w:b w:val="false"/>
          <w:bCs w:val="false"/>
          <w:i w:val="false"/>
          <w:i w:val="false"/>
          <w:iCs w:val="false"/>
          <w:position w:val="0"/>
          <w:sz w:val="20"/>
          <w:sz w:val="20"/>
          <w:szCs w:val="20"/>
          <w:vertAlign w:val="baseline"/>
        </w:rPr>
      </w:pPr>
      <w:r>
        <w:rPr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rFonts w:ascii="arial" w:hAnsi="arial"/>
          <w:b/>
          <w:bCs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Figure 4  </w:t>
      </w:r>
      <w:r>
        <w:rPr>
          <w:rFonts w:ascii="arial" w:hAnsi="arial"/>
          <w:b w:val="false"/>
          <w:bCs w:val="false"/>
          <w:i/>
          <w:iCs/>
          <w:position w:val="0"/>
          <w:sz w:val="20"/>
          <w:sz w:val="20"/>
          <w:szCs w:val="20"/>
          <w:vertAlign w:val="baseline"/>
        </w:rPr>
        <w:t xml:space="preserve">E. coli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metabolite and Mg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  <w:vertAlign w:val="superscript"/>
        </w:rPr>
        <w:t xml:space="preserve">2+  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 xml:space="preserve">mixtures </w:t>
      </w:r>
      <w:r>
        <w:rPr>
          <w:rFonts w:eastAsia="Noto Serif CJK SC" w:cs="Lohit Devanagari" w:ascii="arial" w:hAnsi="arial"/>
          <w:b w:val="false"/>
          <w:bCs w:val="false"/>
          <w:i w:val="false"/>
          <w:iCs w:val="false"/>
          <w:color w:val="auto"/>
          <w:kern w:val="2"/>
          <w:position w:val="0"/>
          <w:sz w:val="20"/>
          <w:sz w:val="20"/>
          <w:szCs w:val="20"/>
          <w:vertAlign w:val="baseline"/>
          <w:lang w:val="en-US" w:eastAsia="zh-CN" w:bidi="hi-IN"/>
        </w:rPr>
        <w:t>increase functional RNA compactness</w:t>
      </w:r>
      <w:r>
        <w:rPr>
          <w:rFonts w:ascii="arial" w:hAnsi="arial"/>
          <w:b w:val="false"/>
          <w:bCs w:val="false"/>
          <w:i w:val="false"/>
          <w:iCs w:val="false"/>
          <w:position w:val="0"/>
          <w:sz w:val="20"/>
          <w:sz w:val="20"/>
          <w:szCs w:val="20"/>
          <w:vertAlign w:val="baseline"/>
        </w:rPr>
        <w:t>.</w:t>
      </w:r>
      <w:r>
        <w:br w:type="page"/>
      </w:r>
    </w:p>
    <w:p>
      <w:pPr>
        <w:pStyle w:val="VDTableTitle"/>
        <w:bidi w:val="0"/>
        <w:jc w:val="left"/>
        <w:rPr>
          <w:rFonts w:eastAsia="Times New Roman" w:cs="Times New Roman"/>
          <w:bCs/>
        </w:rPr>
      </w:pPr>
      <w:r>
        <w:rPr>
          <w:rFonts w:eastAsia="Times New Roman" w:cs="Times New Roman"/>
          <w:bCs/>
        </w:rPr>
        <w:t>Table 1. The top 14 most abundant metabolites that comprise 80% of the E. coli metabolome.</w:t>
      </w:r>
    </w:p>
    <w:tbl>
      <w:tblPr>
        <w:tblW w:w="6927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997"/>
        <w:gridCol w:w="2188"/>
        <w:gridCol w:w="1431"/>
      </w:tblGrid>
      <w:tr>
        <w:trPr/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Metabolite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Conc.</w:t>
              <w:br/>
              <w:t>(mM)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K’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  <w:vertAlign w:val="subscript"/>
              </w:rPr>
              <w:t>D</w:t>
            </w:r>
            <w:r>
              <w:rPr>
                <w:rStyle w:val="DefaultParagraphFont"/>
                <w:rFonts w:ascii="Arial" w:hAnsi="Arial"/>
                <w:bCs/>
                <w:position w:val="-1"/>
                <w:sz w:val="16"/>
                <w:szCs w:val="16"/>
              </w:rPr>
              <w:t xml:space="preserve"> and 95% CI</w:t>
              <w:br/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(mM)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Chelation</w:t>
              <w:br/>
              <w:t>stength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top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ATP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9.63</w:t>
            </w:r>
          </w:p>
        </w:tc>
        <w:tc>
          <w:tcPr>
            <w:tcW w:w="218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76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(0.272 to 0.279)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8.29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38 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(0.2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30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to 0.2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45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position w:val="8"/>
                <w:sz w:val="16"/>
                <w:szCs w:val="16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GTP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4.87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0.201 (0.195 to 0.208)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dTTP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4.62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>0.16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0</w:t>
            </w:r>
            <w:r>
              <w:rPr>
                <w:rStyle w:val="DefaultParagraphFont"/>
                <w:rFonts w:ascii="Arial" w:hAnsi="Arial"/>
                <w:bCs/>
                <w:sz w:val="16"/>
                <w:szCs w:val="16"/>
              </w:rPr>
              <w:t xml:space="preserve">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(0.153 to 0.166)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Strong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Glutathione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16.6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Fructose 1,6-BP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15.2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5.9 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UDP-GlcNAC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9.24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29.0</w:t>
            </w: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 xml:space="preserve"> (28.4 to 29.6)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Glucose 6-P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7.88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17.3 (16.8 to 17.7)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L-Aspartic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4.23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L-Valine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4.02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L-Glutamine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3.81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right w:val="single" w:sz="4" w:space="0" w:color="000000"/>
            </w:tcBorders>
            <w:shd w:fill="A9A9A9" w:val="clear"/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6-P-gluconic acid</w:t>
            </w:r>
          </w:p>
        </w:tc>
        <w:tc>
          <w:tcPr>
            <w:tcW w:w="997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3.77</w:t>
            </w:r>
          </w:p>
        </w:tc>
        <w:tc>
          <w:tcPr>
            <w:tcW w:w="2188" w:type="dxa"/>
            <w:tcBorders>
              <w:left w:val="single" w:sz="4" w:space="0" w:color="000000"/>
              <w:righ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14.4 (5.6 to 6.2)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Pyruvic acid</w:t>
            </w:r>
          </w:p>
        </w:tc>
        <w:tc>
          <w:tcPr>
            <w:tcW w:w="997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3.66</w:t>
            </w:r>
          </w:p>
        </w:tc>
        <w:tc>
          <w:tcPr>
            <w:tcW w:w="2188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431" w:type="dxa"/>
            <w:tcBorders>
              <w:lef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  <w:tr>
        <w:trPr>
          <w:trHeight w:val="644" w:hRule="atLeast"/>
        </w:trPr>
        <w:tc>
          <w:tcPr>
            <w:tcW w:w="2310" w:type="dxa"/>
            <w:tcBorders>
              <w:bottom w:val="single" w:sz="4" w:space="0" w:color="000000"/>
            </w:tcBorders>
            <w:shd w:fill="A9A9A9" w:val="clear"/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Dihydroxyacetone phosphate</w:t>
            </w:r>
          </w:p>
        </w:tc>
        <w:tc>
          <w:tcPr>
            <w:tcW w:w="997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3.06</w:t>
            </w:r>
          </w:p>
        </w:tc>
        <w:tc>
          <w:tcPr>
            <w:tcW w:w="2188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Style w:val="DefaultParagraphFont"/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19.7 (19.2 to 20.2)</w:t>
            </w:r>
            <w:r>
              <w:rPr>
                <w:rStyle w:val="DefaultParagraphFont"/>
                <w:rFonts w:eastAsia="Times New Roman" w:cs="Times New Roman" w:ascii="Arial" w:hAnsi="Arial"/>
                <w:b w:val="false"/>
                <w:bCs/>
                <w:color w:val="auto"/>
                <w:kern w:val="2"/>
                <w:position w:val="8"/>
                <w:sz w:val="16"/>
                <w:szCs w:val="16"/>
                <w:lang w:val="en-US" w:eastAsia="zh-CN" w:bidi="hi-IN"/>
              </w:rPr>
              <w:t>a</w:t>
            </w:r>
          </w:p>
        </w:tc>
        <w:tc>
          <w:tcPr>
            <w:tcW w:w="1431" w:type="dxa"/>
            <w:tcBorders>
              <w:left w:val="single" w:sz="4" w:space="0" w:color="000000"/>
              <w:bottom w:val="single" w:sz="4" w:space="0" w:color="000000"/>
            </w:tcBorders>
            <w:shd w:fill="A9A9A9" w:val="clear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Weak</w:t>
            </w:r>
            <w:r>
              <w:rPr>
                <w:rStyle w:val="DefaultParagraphFont"/>
                <w:rFonts w:ascii="Arno Pro" w:hAnsi="Arno Pro"/>
                <w:bCs/>
                <w:kern w:val="2"/>
                <w:position w:val="5"/>
                <w:sz w:val="16"/>
                <w:szCs w:val="16"/>
              </w:rPr>
              <w:t>c</w:t>
            </w:r>
          </w:p>
        </w:tc>
      </w:tr>
    </w:tbl>
    <w:p>
      <w:pPr>
        <w:pStyle w:val="VDTableTitle"/>
        <w:bidi w:val="0"/>
        <w:jc w:val="left"/>
        <w:rPr/>
      </w:pPr>
      <w:r>
        <w:rPr>
          <w:rStyle w:val="DefaultParagraphFont"/>
          <w:rFonts w:eastAsia="Times New Roman" w:cs="Times New Roman"/>
          <w:b w:val="false"/>
          <w:position w:val="5"/>
          <w:sz w:val="10"/>
        </w:rPr>
        <w:t>a</w:t>
      </w:r>
      <w:r>
        <w:rPr>
          <w:rStyle w:val="DefaultParagraphFont"/>
          <w:rFonts w:eastAsia="Times New Roman" w:cs="Times New Roman"/>
          <w:b w:val="false"/>
        </w:rPr>
        <w:t xml:space="preserve">Determined at 37 </w:t>
      </w:r>
      <w:r>
        <w:rPr>
          <w:rStyle w:val="DefaultParagraphFont"/>
          <w:rFonts w:eastAsia="Times New Roman" w:cs="Times New Roman" w:ascii="DejaVu Serif" w:hAnsi="DejaVu Serif"/>
          <w:b w:val="false"/>
        </w:rPr>
        <w:t>°</w:t>
      </w:r>
      <w:r>
        <w:rPr>
          <w:rStyle w:val="DefaultParagraphFont"/>
          <w:rFonts w:eastAsia="Times New Roman" w:cs="Times New Roman"/>
          <w:b w:val="false"/>
        </w:rPr>
        <w:t>C with Isothermal titration calorimetry. Error is the propagated standard error in the fit parameter.</w:t>
      </w:r>
    </w:p>
    <w:p>
      <w:pPr>
        <w:pStyle w:val="Normal"/>
        <w:bidi w:val="0"/>
        <w:spacing w:before="0" w:after="72"/>
        <w:jc w:val="left"/>
        <w:rPr/>
      </w:pP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c</w:t>
      </w:r>
      <w:r>
        <w:rPr>
          <w:rStyle w:val="DefaultParagraphFont"/>
          <w:rFonts w:ascii="Arno Pro" w:hAnsi="Arno Pro"/>
          <w:kern w:val="2"/>
          <w:sz w:val="16"/>
          <w:szCs w:val="16"/>
        </w:rPr>
        <w:t>metabolites with K</w:t>
      </w:r>
      <w:r>
        <w:rPr>
          <w:rStyle w:val="DefaultParagraphFont"/>
          <w:rFonts w:ascii="Arno Pro" w:hAnsi="Arno Pro"/>
          <w:kern w:val="2"/>
          <w:position w:val="-1"/>
          <w:sz w:val="16"/>
          <w:szCs w:val="16"/>
        </w:rPr>
        <w:t>D</w:t>
      </w:r>
      <w:r>
        <w:rPr>
          <w:rStyle w:val="DefaultParagraphFont"/>
          <w:rFonts w:ascii="Arno Pro" w:hAnsi="Arno Pro"/>
          <w:kern w:val="2"/>
          <w:sz w:val="16"/>
          <w:szCs w:val="16"/>
        </w:rPr>
        <w:t>s for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less than 2 mM are considered strong Mg</w:t>
      </w:r>
      <w:r>
        <w:rPr>
          <w:rStyle w:val="DefaultParagraphFont"/>
          <w:rFonts w:ascii="Arno Pro" w:hAnsi="Arno Pro"/>
          <w:kern w:val="2"/>
          <w:position w:val="5"/>
          <w:sz w:val="16"/>
          <w:szCs w:val="16"/>
        </w:rPr>
        <w:t>2+</w:t>
      </w:r>
      <w:r>
        <w:rPr>
          <w:rStyle w:val="DefaultParagraphFont"/>
          <w:rFonts w:ascii="Arno Pro" w:hAnsi="Arno Pro"/>
          <w:kern w:val="2"/>
          <w:sz w:val="16"/>
          <w:szCs w:val="16"/>
        </w:rPr>
        <w:t xml:space="preserve"> chelators.</w:t>
      </w:r>
      <w:r>
        <w:br w:type="page"/>
      </w:r>
    </w:p>
    <w:p>
      <w:pPr>
        <w:pStyle w:val="VDTableTitle"/>
        <w:bidi w:val="0"/>
        <w:rPr/>
      </w:pPr>
      <w:r>
        <w:rPr>
          <w:rStyle w:val="DefaultParagraphFont"/>
          <w:rFonts w:eastAsia="Times New Roman" w:cs="Times New Roman"/>
          <w:bCs/>
          <w:sz w:val="19"/>
          <w:szCs w:val="19"/>
        </w:rPr>
        <w:t xml:space="preserve">Table 2. Stability of RNA helices in </w:t>
      </w:r>
      <w:r>
        <w:rPr>
          <w:rStyle w:val="DefaultParagraphFont"/>
          <w:rFonts w:eastAsia="Times New Roman" w:cs="Times New Roman"/>
          <w:bCs/>
          <w:i/>
          <w:iCs/>
          <w:sz w:val="19"/>
          <w:szCs w:val="19"/>
        </w:rPr>
        <w:t xml:space="preserve">E. coli </w:t>
      </w:r>
      <w:r>
        <w:rPr>
          <w:rStyle w:val="DefaultParagraphFont"/>
          <w:rFonts w:eastAsia="Times New Roman" w:cs="Times New Roman"/>
          <w:b/>
          <w:bCs/>
          <w:i w:val="false"/>
          <w:iCs w:val="false"/>
          <w:color w:val="auto"/>
          <w:kern w:val="2"/>
          <w:sz w:val="19"/>
          <w:szCs w:val="19"/>
          <w:lang w:val="en-US" w:eastAsia="zh-CN" w:bidi="hi-IN"/>
        </w:rPr>
        <w:t>metabolite mixtures.</w:t>
      </w:r>
    </w:p>
    <w:tbl>
      <w:tblPr>
        <w:tblW w:w="999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9"/>
        <w:gridCol w:w="1241"/>
        <w:gridCol w:w="758"/>
        <w:gridCol w:w="1000"/>
        <w:gridCol w:w="1497"/>
        <w:gridCol w:w="1433"/>
        <w:gridCol w:w="1622"/>
        <w:gridCol w:w="1443"/>
      </w:tblGrid>
      <w:tr>
        <w:trPr/>
        <w:tc>
          <w:tcPr>
            <w:tcW w:w="99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Helix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Sequence (5'-FAM/</w:t>
              <w:br/>
              <w:t>BHQ1-3')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AU</w:t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content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Condition</w:t>
            </w:r>
          </w:p>
        </w:tc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dH (</w:t>
            </w:r>
            <w:r>
              <w:rPr>
                <w:rFonts w:ascii="Arial" w:hAnsi="Arial"/>
                <w:bCs/>
                <w:sz w:val="14"/>
                <w:szCs w:val="14"/>
              </w:rPr>
              <w:t>kcal/mol)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dS </w:t>
            </w:r>
            <w:r>
              <w:rPr>
                <w:rFonts w:ascii="Arial" w:hAnsi="Arial"/>
                <w:bCs/>
                <w:sz w:val="14"/>
                <w:szCs w:val="14"/>
              </w:rPr>
              <w:t>(cal/mol/K)</w:t>
            </w:r>
          </w:p>
        </w:tc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 xml:space="preserve">ddG </w:t>
            </w:r>
            <w:r>
              <w:rPr>
                <w:rFonts w:ascii="Arial" w:hAnsi="Arial"/>
                <w:bCs/>
                <w:sz w:val="14"/>
                <w:szCs w:val="14"/>
              </w:rPr>
              <w:t>(kcal/mol)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F</w:t>
            </w:r>
          </w:p>
        </w:tc>
        <w:tc>
          <w:tcPr>
            <w:tcW w:w="124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CGCAUCCU/AGGAUGCG</w:t>
            </w:r>
          </w:p>
        </w:tc>
        <w:tc>
          <w:tcPr>
            <w:tcW w:w="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0.38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-55.9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-136.0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-13.82 (0.01)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-52.2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-125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-13.41</w:t>
              <w:br/>
              <w:t>(0.02)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0.41</w:t>
              <w:br/>
              <w:t>(0.02)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-61.4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-14.22</w:t>
              <w:br/>
              <w:t>(0.05)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-0.40</w:t>
              <w:br/>
              <w:t>(0.05)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7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-44.5</w:t>
              <w:br/>
              <w:t>(0.7)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-102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-12.70</w:t>
              <w:br/>
              <w:t>(0.04)</w:t>
            </w:r>
          </w:p>
        </w:tc>
        <w:tc>
          <w:tcPr>
            <w:tcW w:w="144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1.13</w:t>
              <w:br/>
              <w:t>(0.04)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G</w:t>
            </w:r>
          </w:p>
        </w:tc>
        <w:tc>
          <w:tcPr>
            <w:tcW w:w="124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CCAUAUCA/UGAUAUGG</w:t>
            </w:r>
          </w:p>
        </w:tc>
        <w:tc>
          <w:tcPr>
            <w:tcW w:w="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-53.4</w:t>
              <w:br/>
              <w:t>(1.0)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-133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-12.02</w:t>
              <w:br/>
              <w:t>(0.04)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-42.9</w:t>
              <w:br/>
              <w:t>(0.5)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-101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-11.50</w:t>
              <w:br/>
              <w:t>(0.02)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0.52</w:t>
              <w:br/>
              <w:t>(0.04)</w:t>
            </w:r>
          </w:p>
        </w:tc>
      </w:tr>
      <w:tr>
        <w:trPr/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-11.9</w:t>
              <w:br/>
              <w:t>(0.1)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0.10</w:t>
              <w:br/>
              <w:t>(0.01)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7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-57</w:t>
              <w:br/>
              <w:t>(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2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-146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-11.38</w:t>
              <w:br/>
              <w:t>(0.05)</w:t>
            </w:r>
          </w:p>
        </w:tc>
        <w:tc>
          <w:tcPr>
            <w:tcW w:w="144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0.64</w:t>
              <w:br/>
              <w:t>(0.06)</w:t>
            </w:r>
          </w:p>
        </w:tc>
      </w:tr>
      <w:tr>
        <w:trPr/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H</w:t>
            </w:r>
          </w:p>
        </w:tc>
        <w:tc>
          <w:tcPr>
            <w:tcW w:w="124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CCAUAUUA/UAAUAUGG</w:t>
            </w:r>
          </w:p>
        </w:tc>
        <w:tc>
          <w:tcPr>
            <w:tcW w:w="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0.75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-53.5</w:t>
              <w:br/>
              <w:t>(0.4)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-137</w:t>
              <w:br/>
              <w:t>(1)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-10.76</w:t>
              <w:br/>
              <w:t>(0.0</w:t>
            </w:r>
            <w:r>
              <w:rPr>
                <w:rFonts w:eastAsia="Noto Serif CJK SC" w:cs="Lohit Devanagari" w:ascii="Arial" w:hAnsi="Arial"/>
                <w:bCs/>
                <w:color w:val="auto"/>
                <w:kern w:val="2"/>
                <w:sz w:val="16"/>
                <w:szCs w:val="16"/>
                <w:lang w:val="en-US" w:eastAsia="zh-CN" w:bidi="hi-IN"/>
              </w:rPr>
              <w:t>1</w:t>
            </w:r>
            <w:r>
              <w:rPr>
                <w:rFonts w:ascii="Arial" w:hAnsi="Arial"/>
                <w:bCs/>
                <w:sz w:val="16"/>
                <w:szCs w:val="16"/>
              </w:rPr>
              <w:t>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-45.0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-112.5</w:t>
              <w:br/>
              <w:t>(0.5)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-10.158</w:t>
              <w:br/>
              <w:t>(0.002)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0.60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-43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-107</w:t>
              <w:br/>
              <w:t>(5)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-9.94</w:t>
              <w:br/>
              <w:t>(0.02)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0.80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7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-41.3</w:t>
              <w:br/>
              <w:t>(0.2)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-100.4</w:t>
              <w:br/>
              <w:t>(0.7)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-10.15</w:t>
              <w:br/>
              <w:t>(0.01)</w:t>
            </w:r>
          </w:p>
        </w:tc>
        <w:tc>
          <w:tcPr>
            <w:tcW w:w="144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(0.01)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I</w:t>
            </w:r>
          </w:p>
        </w:tc>
        <w:tc>
          <w:tcPr>
            <w:tcW w:w="124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CGGAUGGC/GCCAUCCG</w:t>
            </w:r>
          </w:p>
        </w:tc>
        <w:tc>
          <w:tcPr>
            <w:tcW w:w="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0.25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-71.1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-179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-15.6</w:t>
              <w:br/>
              <w:t>(0.06)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-70.4</w:t>
              <w:br/>
              <w:t>(0.6)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-177</w:t>
              <w:br/>
              <w:t>(2)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-15.28</w:t>
              <w:br/>
              <w:t>(0.05)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0.32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-65.5</w:t>
              <w:br/>
              <w:t>(2)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-162</w:t>
              <w:br/>
              <w:t>(7)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-15.2</w:t>
              <w:br/>
              <w:t>(0.2)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</w:t>
              <w:br/>
              <w:t>(0.2)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7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-69.7</w:t>
              <w:br/>
              <w:t>(0.8)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-176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-14.0</w:t>
              <w:br/>
              <w:t>(0.1)</w:t>
            </w:r>
          </w:p>
        </w:tc>
        <w:tc>
          <w:tcPr>
            <w:tcW w:w="144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0.61</w:t>
              <w:br/>
              <w:t>(0.08)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restart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J</w:t>
            </w:r>
          </w:p>
        </w:tc>
        <w:tc>
          <w:tcPr>
            <w:tcW w:w="124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>
                <w:rFonts w:ascii="Arial" w:hAnsi="Arial"/>
                <w:bCs/>
                <w:sz w:val="16"/>
                <w:szCs w:val="16"/>
              </w:rPr>
              <w:t>CGUAUGUA/UACAUACG</w:t>
            </w:r>
          </w:p>
        </w:tc>
        <w:tc>
          <w:tcPr>
            <w:tcW w:w="758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0.63</w:t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2 mM free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-63.2</w:t>
              <w:br/>
              <w:t>(0.9)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-169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NTPCM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-59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-157</w:t>
              <w:br/>
              <w:t>(4)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-10.30</w:t>
              <w:br/>
              <w:t>(0.01)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0.55</w:t>
              <w:br/>
              <w:t>(0.02)</w:t>
            </w:r>
          </w:p>
        </w:tc>
      </w:tr>
      <w:tr>
        <w:trPr>
          <w:trHeight w:val="215" w:hRule="atLeast"/>
        </w:trPr>
        <w:tc>
          <w:tcPr>
            <w:tcW w:w="999" w:type="dxa"/>
            <w:vMerge w:val="continue"/>
            <w:tcBorders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WMCM</w:t>
            </w:r>
          </w:p>
        </w:tc>
        <w:tc>
          <w:tcPr>
            <w:tcW w:w="1497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-67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-180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-10.85</w:t>
              <w:br/>
              <w:t>(0.02)</w:t>
            </w:r>
          </w:p>
        </w:tc>
        <w:tc>
          <w:tcPr>
            <w:tcW w:w="1443" w:type="dxa"/>
            <w:tcBorders>
              <w:lef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0.00</w:t>
              <w:br/>
              <w:t>(0.03)</w:t>
            </w:r>
          </w:p>
        </w:tc>
      </w:tr>
      <w:tr>
        <w:trPr/>
        <w:tc>
          <w:tcPr>
            <w:tcW w:w="999" w:type="dxa"/>
            <w:vMerge w:val="continue"/>
            <w:tcBorders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241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/>
            </w:pPr>
            <w:r>
              <w:rPr/>
            </w:r>
          </w:p>
        </w:tc>
        <w:tc>
          <w:tcPr>
            <w:tcW w:w="758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</w:r>
          </w:p>
        </w:tc>
        <w:tc>
          <w:tcPr>
            <w:tcW w:w="100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Ecoli80</w:t>
            </w:r>
          </w:p>
        </w:tc>
        <w:tc>
          <w:tcPr>
            <w:tcW w:w="1497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-61</w:t>
              <w:br/>
              <w:t>(1)</w:t>
            </w:r>
          </w:p>
        </w:tc>
        <w:tc>
          <w:tcPr>
            <w:tcW w:w="14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-164</w:t>
              <w:br/>
              <w:t>(3)</w:t>
            </w:r>
          </w:p>
        </w:tc>
        <w:tc>
          <w:tcPr>
            <w:tcW w:w="1622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-10.41</w:t>
              <w:br/>
              <w:t>(0.01)</w:t>
            </w:r>
          </w:p>
        </w:tc>
        <w:tc>
          <w:tcPr>
            <w:tcW w:w="144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bottom w:w="55" w:type="dxa"/>
            </w:tcMar>
            <w:vAlign w:val="center"/>
          </w:tcPr>
          <w:p>
            <w:pPr>
              <w:pStyle w:val="Normal"/>
              <w:bidi w:val="0"/>
              <w:spacing w:before="0" w:after="0"/>
              <w:jc w:val="center"/>
              <w:rPr>
                <w:rFonts w:ascii="Arial" w:hAnsi="Arial"/>
                <w:bCs/>
                <w:sz w:val="16"/>
                <w:szCs w:val="16"/>
              </w:rPr>
            </w:pPr>
            <w:r>
              <w:rPr>
                <w:rFonts w:ascii="Arial" w:hAnsi="Arial"/>
                <w:bCs/>
                <w:sz w:val="16"/>
                <w:szCs w:val="16"/>
              </w:rPr>
              <w:t>0.44</w:t>
              <w:br/>
              <w:t>(0.02)</w:t>
            </w:r>
          </w:p>
        </w:tc>
      </w:tr>
    </w:tbl>
    <w:p>
      <w:pPr>
        <w:pStyle w:val="Normal"/>
        <w:bidi w:val="0"/>
        <w:spacing w:before="0" w:after="72"/>
        <w:jc w:val="left"/>
        <w:rPr>
          <w:rFonts w:ascii="Arno Pro" w:hAnsi="Arno Pro"/>
          <w:kern w:val="2"/>
          <w:sz w:val="18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no Pro">
    <w:charset w:val="01"/>
    <w:family w:val="roman"/>
    <w:pitch w:val="variable"/>
  </w:font>
  <w:font w:name="arial">
    <w:charset w:val="01"/>
    <w:family w:val="roman"/>
    <w:pitch w:val="variable"/>
  </w:font>
  <w:font w:name="Ani">
    <w:charset w:val="01"/>
    <w:family w:val="auto"/>
    <w:pitch w:val="default"/>
  </w:font>
  <w:font w:name="Arial">
    <w:charset w:val="01"/>
    <w:family w:val="roman"/>
    <w:pitch w:val="variable"/>
  </w:font>
  <w:font w:name="DejaVu Serif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VDTableTitle">
    <w:name w:val="VD_Table_Title"/>
    <w:basedOn w:val="Normal"/>
    <w:next w:val="Normal"/>
    <w:qFormat/>
    <w:pPr>
      <w:suppressAutoHyphens w:val="false"/>
      <w:spacing w:before="0" w:after="0"/>
    </w:pPr>
    <w:rPr>
      <w:rFonts w:ascii="Arno Pro" w:hAnsi="Arno Pro" w:eastAsia="Arno Pro" w:cs="Arno Pro"/>
      <w:b/>
      <w:kern w:val="2"/>
      <w:sz w:val="16"/>
      <w:szCs w:val="16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1390</TotalTime>
  <Application>LibreOffice/6.4.7.2$Linux_X86_64 LibreOffice_project/40$Build-2</Application>
  <Pages>5</Pages>
  <Words>760</Words>
  <Characters>4000</Characters>
  <CharactersWithSpaces>4587</CharactersWithSpaces>
  <Paragraphs>187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2022-02-15T13:01:43Z</dcterms:created>
  <dc:creator/>
  <dc:description/>
  <dc:language>en-US</dc:language>
  <cp:lastModifiedBy/>
  <dcterms:modified xsi:type="dcterms:W3CDTF">2022-03-01T15:38:52Z</dcterms:modified>
  <cp:revision>11</cp:revision>
  <dc:subject/>
  <dc:title/>
</cp:coreProperties>
</file>